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F" w:rsidRDefault="00EB24BF" w:rsidP="00EB24BF">
      <w:pPr>
        <w:pStyle w:val="ANOTACION"/>
        <w:spacing w:line="243" w:lineRule="exact"/>
      </w:pPr>
      <w:r w:rsidRPr="005743AD">
        <w:t>APÉNDICE V</w:t>
      </w:r>
    </w:p>
    <w:p w:rsidR="00EB24BF" w:rsidRDefault="00EB24BF" w:rsidP="00EB24BF">
      <w:pPr>
        <w:pStyle w:val="Texto"/>
        <w:spacing w:line="243" w:lineRule="exact"/>
        <w:ind w:firstLine="0"/>
        <w:jc w:val="center"/>
        <w:rPr>
          <w:b/>
        </w:rPr>
      </w:pPr>
      <w:r w:rsidRPr="005743AD">
        <w:rPr>
          <w:b/>
        </w:rPr>
        <w:t>Reglamento de Uso de Vehículos del</w:t>
      </w:r>
      <w:r>
        <w:rPr>
          <w:b/>
        </w:rPr>
        <w:t xml:space="preserve"> </w:t>
      </w:r>
      <w:r w:rsidRPr="005743AD">
        <w:rPr>
          <w:b/>
        </w:rPr>
        <w:t>(Indicar el nombre de la Instancia</w:t>
      </w:r>
      <w:r>
        <w:rPr>
          <w:b/>
        </w:rPr>
        <w:t xml:space="preserve"> </w:t>
      </w:r>
      <w:r w:rsidRPr="005743AD">
        <w:rPr>
          <w:b/>
        </w:rPr>
        <w:t>Ejecutora)</w:t>
      </w:r>
    </w:p>
    <w:p w:rsidR="00EB24BF" w:rsidRPr="005743AD" w:rsidRDefault="00EB24BF" w:rsidP="00EB24BF">
      <w:pPr>
        <w:pStyle w:val="Texto"/>
        <w:spacing w:line="243" w:lineRule="exact"/>
        <w:ind w:firstLine="0"/>
        <w:jc w:val="center"/>
        <w:rPr>
          <w:b/>
        </w:rPr>
      </w:pPr>
      <w:r w:rsidRPr="005743AD">
        <w:rPr>
          <w:b/>
        </w:rPr>
        <w:t>CA</w:t>
      </w:r>
      <w:bookmarkStart w:id="0" w:name="_GoBack"/>
      <w:bookmarkEnd w:id="0"/>
      <w:r w:rsidRPr="005743AD">
        <w:rPr>
          <w:b/>
        </w:rPr>
        <w:t>PÍTULO I</w:t>
      </w:r>
    </w:p>
    <w:p w:rsidR="00EB24BF" w:rsidRDefault="00EB24BF" w:rsidP="00EB24BF">
      <w:pPr>
        <w:pStyle w:val="Texto"/>
        <w:spacing w:line="243" w:lineRule="exact"/>
        <w:ind w:firstLine="0"/>
        <w:jc w:val="center"/>
        <w:rPr>
          <w:b/>
        </w:rPr>
      </w:pPr>
      <w:r w:rsidRPr="005743AD">
        <w:rPr>
          <w:b/>
        </w:rPr>
        <w:t>DISPOSICIONES GENERALES</w:t>
      </w:r>
    </w:p>
    <w:p w:rsidR="00EB24BF" w:rsidRDefault="00EB24BF" w:rsidP="00EB24BF">
      <w:pPr>
        <w:pStyle w:val="Texto"/>
        <w:spacing w:line="243" w:lineRule="exact"/>
      </w:pPr>
      <w:r w:rsidRPr="005743AD">
        <w:t>Los vehículos motivo del presente ordenamiento, son considerados como herramientas para el desarrollo de las acciones contempladas en los programas de trabajo y al ser adquiridos, mantenidos, reparados y consumir combustible con recurso de origen federal, se deben contemplar medidas de control entre todo el personal que demuestren los principios de Eficacia, Eficiencia, Imparcialidad, Economía, Honradez</w:t>
      </w:r>
      <w:r>
        <w:t xml:space="preserve"> </w:t>
      </w:r>
      <w:r w:rsidRPr="005743AD">
        <w:t>y Transparencia.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Artículo 1.-</w:t>
      </w:r>
      <w:r w:rsidRPr="005743AD">
        <w:t xml:space="preserve"> El presente reglamento tiene por objeto regular el uso y protección de los vehículos propiedad de la Instancia Ejecutora (IE); así como los daños que en relación a ellos se ocasionen.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Artículo 2.-</w:t>
      </w:r>
      <w:r w:rsidRPr="005743AD">
        <w:t xml:space="preserve"> Las disposiciones contenidas en el presente reglamento son aplicables a todos los trabajadores y Presidente de la Instancia Ejecutora que, por razón de sus cargos, tengan bajo su resguardo un vehículo para el desarrollo de sus actividades.</w:t>
      </w:r>
    </w:p>
    <w:p w:rsidR="00EB24BF" w:rsidRPr="005743AD" w:rsidRDefault="00EB24BF" w:rsidP="00EB24BF">
      <w:pPr>
        <w:pStyle w:val="Texto"/>
        <w:spacing w:line="243" w:lineRule="exact"/>
        <w:ind w:firstLine="0"/>
        <w:jc w:val="center"/>
        <w:rPr>
          <w:b/>
        </w:rPr>
      </w:pPr>
      <w:r w:rsidRPr="005743AD">
        <w:rPr>
          <w:b/>
        </w:rPr>
        <w:t>CAPÍTULO II</w:t>
      </w:r>
    </w:p>
    <w:p w:rsidR="00EB24BF" w:rsidRDefault="00EB24BF" w:rsidP="00EB24BF">
      <w:pPr>
        <w:pStyle w:val="Texto"/>
        <w:spacing w:line="243" w:lineRule="exact"/>
        <w:ind w:firstLine="0"/>
        <w:jc w:val="center"/>
        <w:rPr>
          <w:b/>
        </w:rPr>
      </w:pPr>
      <w:r w:rsidRPr="005743AD">
        <w:rPr>
          <w:b/>
        </w:rPr>
        <w:t>DE LA ASIGNACION DE VEHÍCULO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Artículo 3.-</w:t>
      </w:r>
      <w:r w:rsidRPr="005743AD">
        <w:t xml:space="preserve"> Para la asignación de vehículos se deberá realizar lo siguiente: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I.</w:t>
      </w:r>
      <w:r w:rsidRPr="005743AD">
        <w:t xml:space="preserve"> El conductor debe contar con licencia para conducir vigente.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II.</w:t>
      </w:r>
      <w:r w:rsidRPr="005743AD">
        <w:t xml:space="preserve"> Levantar inventario físico de la unidad por escrito, firmando de mutuo acuerdo quien entrega y recibe.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III.</w:t>
      </w:r>
      <w:r w:rsidRPr="005743AD">
        <w:t xml:space="preserve"> Se emitirá y firmará el resguardo correspondiente que será autorizado por la Gerencia y el Coordinador Administrativo.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Artículo 4.-</w:t>
      </w:r>
      <w:r w:rsidRPr="005743AD">
        <w:t xml:space="preserve"> Cada vehículo deberá contar con un expediente, el cual deberá estar en el archivo del área administrativa de la IE y contendrá los siguientes documentos: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I.</w:t>
      </w:r>
      <w:r w:rsidRPr="005743AD">
        <w:t xml:space="preserve"> Documentos originales que acreditan la propiedad y uso: Factura original y resguardo debidamente firmado.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II.</w:t>
      </w:r>
      <w:r w:rsidRPr="005743AD">
        <w:t xml:space="preserve"> Póliza de seguro con cobertura amplia vigente.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III.</w:t>
      </w:r>
      <w:r w:rsidRPr="005743AD">
        <w:t xml:space="preserve"> Levantamientos físicos oculares por escrito de las condiciones generales del vehículo al momento de la entrega para su uso, y de su regreso por el usuario.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IV</w:t>
      </w:r>
      <w:r w:rsidRPr="005743AD">
        <w:t>. Bitácoras de mantenimiento y de combustible mensuales.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V</w:t>
      </w:r>
      <w:r w:rsidRPr="005743AD">
        <w:t>. Reportes técnicos.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VI.</w:t>
      </w:r>
      <w:r w:rsidRPr="005743AD">
        <w:t xml:space="preserve"> Registro fotográfico del vehículo.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Artículo 5.-</w:t>
      </w:r>
      <w:r w:rsidRPr="005743AD">
        <w:t xml:space="preserve"> Al realizar la entrega del vehículo el área administrativa debe entregar al </w:t>
      </w:r>
      <w:proofErr w:type="spellStart"/>
      <w:r w:rsidRPr="005743AD">
        <w:t>resguardante</w:t>
      </w:r>
      <w:proofErr w:type="spellEnd"/>
      <w:r w:rsidRPr="005743AD">
        <w:t xml:space="preserve"> la siguiente documentación: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I.</w:t>
      </w:r>
      <w:r w:rsidRPr="005743AD">
        <w:t xml:space="preserve"> Tarjeta de circulación original.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II.</w:t>
      </w:r>
      <w:r w:rsidRPr="005743AD">
        <w:t xml:space="preserve"> Copia de la póliza de seguro.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III.</w:t>
      </w:r>
      <w:r w:rsidRPr="005743AD">
        <w:t xml:space="preserve"> Manual de servicios.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Articulo 6.-</w:t>
      </w:r>
      <w:r w:rsidRPr="005743AD">
        <w:t xml:space="preserve"> Todos los vehículos adquiridos con recursos públicos, deben portar calcomanías colocadas como sigue: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I.</w:t>
      </w:r>
      <w:r w:rsidRPr="005743AD">
        <w:t xml:space="preserve"> Logo de la IE en las dos puertas.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II.</w:t>
      </w:r>
      <w:r w:rsidRPr="005743AD">
        <w:t xml:space="preserve"> Nº económico de la unidad en los dos costados y en la parte de atrás de cajuela.</w:t>
      </w:r>
    </w:p>
    <w:p w:rsidR="00EB24BF" w:rsidRPr="005743AD" w:rsidRDefault="00EB24BF" w:rsidP="00EB24BF">
      <w:pPr>
        <w:pStyle w:val="Texto"/>
        <w:spacing w:line="243" w:lineRule="exact"/>
      </w:pPr>
      <w:r w:rsidRPr="005743AD">
        <w:rPr>
          <w:b/>
        </w:rPr>
        <w:t>III.</w:t>
      </w:r>
      <w:r w:rsidRPr="005743AD">
        <w:t xml:space="preserve"> Página de Internet de la IE donde se pueden realizar quejas o denuncias relacionadas con la unidad.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lastRenderedPageBreak/>
        <w:t>IV.</w:t>
      </w:r>
      <w:r w:rsidRPr="005743AD">
        <w:t xml:space="preserve"> Número telefónico de la IE.</w:t>
      </w:r>
    </w:p>
    <w:p w:rsidR="00EB24BF" w:rsidRDefault="00EB24BF" w:rsidP="00EB24BF">
      <w:pPr>
        <w:pStyle w:val="Texto"/>
        <w:spacing w:line="243" w:lineRule="exact"/>
      </w:pPr>
      <w:r w:rsidRPr="005743AD">
        <w:rPr>
          <w:b/>
        </w:rPr>
        <w:t>Artículo 7.</w:t>
      </w:r>
      <w:r w:rsidRPr="005743AD">
        <w:t xml:space="preserve"> Cada vehículo debe contar con GPS integrado.</w:t>
      </w:r>
    </w:p>
    <w:p w:rsidR="00EB24BF" w:rsidRPr="005743AD" w:rsidRDefault="00EB24BF" w:rsidP="00EB24BF">
      <w:pPr>
        <w:pStyle w:val="Texto"/>
        <w:spacing w:line="262" w:lineRule="exact"/>
        <w:ind w:firstLine="0"/>
        <w:jc w:val="center"/>
        <w:rPr>
          <w:b/>
        </w:rPr>
      </w:pPr>
      <w:r w:rsidRPr="005743AD">
        <w:rPr>
          <w:b/>
        </w:rPr>
        <w:t>CAPÍTULO III</w:t>
      </w:r>
    </w:p>
    <w:p w:rsidR="00EB24BF" w:rsidRDefault="00EB24BF" w:rsidP="00EB24BF">
      <w:pPr>
        <w:pStyle w:val="Texto"/>
        <w:spacing w:line="262" w:lineRule="exact"/>
        <w:ind w:firstLine="0"/>
        <w:jc w:val="center"/>
        <w:rPr>
          <w:b/>
        </w:rPr>
      </w:pPr>
      <w:r w:rsidRPr="005743AD">
        <w:rPr>
          <w:b/>
        </w:rPr>
        <w:t>DE LAS RESPONSABILIDADES DEL RESGUARDANTE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Articulo 8.-</w:t>
      </w:r>
      <w:r w:rsidRPr="005743AD">
        <w:t xml:space="preserve"> Los vehículos deben ser conducidos únicamente por el responsable designado en el resguardo o en caso de ser necesario por personal que labore en la Instancia Ejecutora.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9.-</w:t>
      </w:r>
      <w:r w:rsidRPr="005743AD">
        <w:t xml:space="preserve"> Los fines de semana y días festivos los vehículos deberán ser resguardados en el estacionamiento de la Instancia Ejecutora o en el lugar donde se autorice, y no se deberá utilizar, salvo que</w:t>
      </w:r>
      <w:r>
        <w:t xml:space="preserve"> </w:t>
      </w:r>
      <w:r w:rsidRPr="005743AD">
        <w:t xml:space="preserve">el </w:t>
      </w:r>
      <w:proofErr w:type="spellStart"/>
      <w:r w:rsidRPr="005743AD">
        <w:t>resguardante</w:t>
      </w:r>
      <w:proofErr w:type="spellEnd"/>
      <w:r w:rsidRPr="005743AD">
        <w:t xml:space="preserve"> se encuentre en comisión y tenga la autorización previa y por escrito del Presidente, Gerente o Coordinador Administrativo de la Instancia Ejecutora.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10.-</w:t>
      </w:r>
      <w:r w:rsidRPr="005743AD">
        <w:t xml:space="preserve"> Por imagen y perfil de la institución, el vehículo nunca deberá estar estacionado en bares, cantinas, centros nocturnos, ni en lugares para personas con capacidades diferentes.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Articulo 11.-</w:t>
      </w:r>
      <w:r w:rsidRPr="005743AD">
        <w:t xml:space="preserve"> Si los vehículos son reportados o detectados que fueron movilizados en fin de semana sin tener autorización, el responsable podrá ser sancionado de acuerdo a las políticas de la IE y se podrá solicitar hasta la destitución de su puesto o de la IE.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12.-</w:t>
      </w:r>
      <w:r w:rsidRPr="005743AD">
        <w:t xml:space="preserve"> En caso de que los vehículos sean reportados con daños y el usuario no se haga responsable, podrá ser sancionado de acuerdo a las políticas de la IE y se podrá solicitar hasta la destitución de su puesto o de la IE.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13.-</w:t>
      </w:r>
      <w:r w:rsidRPr="005743AD">
        <w:t xml:space="preserve"> Los </w:t>
      </w:r>
      <w:proofErr w:type="spellStart"/>
      <w:r w:rsidRPr="005743AD">
        <w:t>resguardantes</w:t>
      </w:r>
      <w:proofErr w:type="spellEnd"/>
      <w:r w:rsidRPr="005743AD">
        <w:t xml:space="preserve"> de los vehículos deben conducir con cortesía y hacer un uso responsable del vehículo, respetando el Reglamento de Tránsito de cada entidad.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14.-</w:t>
      </w:r>
      <w:r w:rsidRPr="005743AD">
        <w:t xml:space="preserve"> No conducir el vehículo oficial utilizando el teléfono celular, ni otros aparatos que distraigan la atención al volante.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15.-</w:t>
      </w:r>
      <w:r w:rsidRPr="005743AD">
        <w:t xml:space="preserve"> En el período de vacaciones, el responsable deberá entregar la unidad para que se resguarde en el estacionamiento o en el lugar que el representante de la IE determine.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16.-</w:t>
      </w:r>
      <w:r w:rsidRPr="005743AD">
        <w:t xml:space="preserve"> Sin excepción alguna, se deberá elaborar y hacer entrega del reporte mensual “bitácora mensual del uso y condiciones del vehículo” en el área de control vehicular, durante los primeros 10 (diez) días de cada mes, así mismo deberá informar a esta área el rendimiento del vehículo.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17.-</w:t>
      </w:r>
      <w:r w:rsidRPr="005743AD">
        <w:t xml:space="preserve"> El vehículo debe contar con control de carga de combustible con proveedores seleccionados por la IE y mediante tarjetas electrónicas, por lo que únicamente se pueden hacer cargas con dichas empresas y éstas deberán ser exclusivamente a la unidad a su resguardo y hasta los límites permitidos conforme su programa de trabajo mensual.</w:t>
      </w:r>
    </w:p>
    <w:p w:rsidR="00EB24BF" w:rsidRPr="005743AD" w:rsidRDefault="00EB24BF" w:rsidP="00EB24BF">
      <w:pPr>
        <w:pStyle w:val="Texto"/>
        <w:spacing w:line="263" w:lineRule="exact"/>
      </w:pPr>
      <w:r w:rsidRPr="005743AD">
        <w:rPr>
          <w:b/>
        </w:rPr>
        <w:t>Artículo 18.-</w:t>
      </w:r>
      <w:r w:rsidRPr="005743AD">
        <w:t xml:space="preserve"> El abandono del vehículo, por accidente, por descuido, por falla mecánica o conflicto social, los gastos de recuperación, serán con cargo al </w:t>
      </w:r>
      <w:proofErr w:type="spellStart"/>
      <w:r w:rsidRPr="005743AD">
        <w:t>resguardante</w:t>
      </w:r>
      <w:proofErr w:type="spellEnd"/>
      <w:r w:rsidRPr="005743AD">
        <w:t xml:space="preserve"> con excepción de cuando en un accidente, el conductor se encuentre en peligro de vida.</w:t>
      </w:r>
    </w:p>
    <w:p w:rsidR="00EB24BF" w:rsidRPr="005743AD" w:rsidRDefault="00EB24BF" w:rsidP="00EB24BF">
      <w:pPr>
        <w:pStyle w:val="Texto"/>
        <w:spacing w:line="263" w:lineRule="exact"/>
        <w:ind w:firstLine="0"/>
        <w:jc w:val="center"/>
        <w:rPr>
          <w:b/>
        </w:rPr>
      </w:pPr>
      <w:r w:rsidRPr="005743AD">
        <w:rPr>
          <w:b/>
        </w:rPr>
        <w:t>CAPÍTULO IV</w:t>
      </w:r>
    </w:p>
    <w:p w:rsidR="00EB24BF" w:rsidRDefault="00EB24BF" w:rsidP="00EB24BF">
      <w:pPr>
        <w:pStyle w:val="Texto"/>
        <w:spacing w:line="263" w:lineRule="exact"/>
        <w:ind w:firstLine="0"/>
        <w:jc w:val="center"/>
        <w:rPr>
          <w:b/>
        </w:rPr>
      </w:pPr>
      <w:r w:rsidRPr="005743AD">
        <w:rPr>
          <w:b/>
        </w:rPr>
        <w:t>DEL MANTENIMIENTO DEL VEHÍCULO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19.-</w:t>
      </w:r>
      <w:r w:rsidRPr="005743AD">
        <w:t xml:space="preserve"> Mantener el vehículo en buen estado mecánico realizando los mantenimientos preventivos oportunamente y en caso de requerir reparaciones, hacer las gestiones pertinentes para la compostura en forma inmediata para evitar reparaciones mayores.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20.-</w:t>
      </w:r>
      <w:r w:rsidRPr="005743AD">
        <w:t xml:space="preserve"> Hacer la gestión para realizar los servicios en forma oportuna tal como se establece en el manual de servicios. En caso de avería a la unidad por negligencia o por no realizar las revisiones y servicios de mantenimiento </w:t>
      </w:r>
      <w:proofErr w:type="spellStart"/>
      <w:r w:rsidRPr="005743AD">
        <w:t>eventivo</w:t>
      </w:r>
      <w:proofErr w:type="spellEnd"/>
      <w:r w:rsidRPr="005743AD">
        <w:t>, el usuario se hace responsable de los gastos que esto genere.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lastRenderedPageBreak/>
        <w:t>Artículo 21.-</w:t>
      </w:r>
      <w:r w:rsidRPr="005743AD">
        <w:t xml:space="preserve"> Conservar el vehículo limpio tanto en el interior como en el exterior.</w:t>
      </w:r>
    </w:p>
    <w:p w:rsidR="00EB24BF" w:rsidRDefault="00EB24BF" w:rsidP="00EB24BF">
      <w:pPr>
        <w:pStyle w:val="Texto"/>
        <w:spacing w:line="263" w:lineRule="exact"/>
      </w:pPr>
      <w:r w:rsidRPr="005743AD">
        <w:rPr>
          <w:b/>
        </w:rPr>
        <w:t>Artículo 22.-</w:t>
      </w:r>
      <w:r w:rsidRPr="005743AD">
        <w:t xml:space="preserve"> Mantener los logotipos de los vehículos, completos, en buen estado y que sean vigentes, cuando algunos de los supuestos anteriores no se cumplan solicitar al Coordinador Administrativo su reposición en forma inmediata.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23.-</w:t>
      </w:r>
      <w:r w:rsidRPr="005743AD">
        <w:t xml:space="preserve"> En caso de robo o extravío de algún accesorio del vehículo deberá reportar de forma</w:t>
      </w:r>
      <w:r>
        <w:t xml:space="preserve"> </w:t>
      </w:r>
      <w:r w:rsidRPr="005743AD">
        <w:t>inmediata al área administrativa y de requerirse hacer las gestiones pertinentes para la reposición en forma inmediata para evitar reparaciones mayores.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24.-</w:t>
      </w:r>
      <w:r w:rsidRPr="005743AD">
        <w:t xml:space="preserve"> Mantener el vehículo libre de golpes, ralladuras, ambas placas, con todos los aditamentos, accesorios, etc.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25.-</w:t>
      </w:r>
      <w:r w:rsidRPr="005743AD">
        <w:t xml:space="preserve"> En caso de extravío de placas, deberá de reportar en forma inmediata ante la autoridad competente y al área administrativa.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26.-</w:t>
      </w:r>
      <w:r w:rsidRPr="005743AD">
        <w:t xml:space="preserve"> En caso de descompostura del vehículo y se requiera grúa, solicitar el servicio a l compañía de seguro a los teléfonos marcados en la póliza vigente, (se tiene derecho a dos por año sin costo).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27.-</w:t>
      </w:r>
      <w:r w:rsidRPr="005743AD">
        <w:t xml:space="preserve"> Cada 6 meses se deberá realizar la verificación del vehículo, por inventarios físicos.</w:t>
      </w:r>
    </w:p>
    <w:p w:rsidR="00EB24BF" w:rsidRPr="005743AD" w:rsidRDefault="00EB24BF" w:rsidP="00EB24BF">
      <w:pPr>
        <w:pStyle w:val="Texto"/>
        <w:spacing w:line="255" w:lineRule="exact"/>
        <w:ind w:firstLine="0"/>
        <w:jc w:val="center"/>
        <w:rPr>
          <w:b/>
        </w:rPr>
      </w:pPr>
      <w:r w:rsidRPr="005743AD">
        <w:rPr>
          <w:b/>
        </w:rPr>
        <w:t>CAPÍTULO V</w:t>
      </w:r>
    </w:p>
    <w:p w:rsidR="00EB24BF" w:rsidRDefault="00EB24BF" w:rsidP="00EB24BF">
      <w:pPr>
        <w:pStyle w:val="Texto"/>
        <w:spacing w:line="255" w:lineRule="exact"/>
        <w:ind w:firstLine="0"/>
        <w:jc w:val="center"/>
        <w:rPr>
          <w:b/>
        </w:rPr>
      </w:pPr>
      <w:r w:rsidRPr="005743AD">
        <w:rPr>
          <w:b/>
        </w:rPr>
        <w:t>DE LA CIRCULACIÓN DE LOS VEHÍCULOS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28.-</w:t>
      </w:r>
      <w:r w:rsidRPr="005743AD">
        <w:t xml:space="preserve"> Los vehículos de la IE deberán ser utilizados únicamente por el personal responsable del resguardo, exclusivamente para el desempeño de sus actividades de trabajo asignadas.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29.-</w:t>
      </w:r>
      <w:r w:rsidRPr="005743AD">
        <w:t xml:space="preserve"> No deberá ingerir bebidas alcohólicas o sustancias tóxicas ni conducir el vehículo en estado de ebriedad o con efecto de drogas.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30.-</w:t>
      </w:r>
      <w:r w:rsidRPr="005743AD">
        <w:t xml:space="preserve"> Solo podrá usar el vehículo en la zona de influencia de su área de trabajo, para salir de su área de influencia en el vehículo deberá tener autorización expresa y por escrito del Gerente, el presidente o Coordinador Administrativo de la IE.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31</w:t>
      </w:r>
      <w:r w:rsidRPr="005743AD">
        <w:t xml:space="preserve">.- En caso de ser infraccionado por no cumplir con las leyes de tránsito, deberá cubrir la infracción en forma inmediata por cuenta del </w:t>
      </w:r>
      <w:proofErr w:type="spellStart"/>
      <w:r w:rsidRPr="005743AD">
        <w:t>resguardante</w:t>
      </w:r>
      <w:proofErr w:type="spellEnd"/>
      <w:r w:rsidRPr="005743AD">
        <w:t xml:space="preserve"> del vehículo, en caso contrario el área administrativa solicitará semestralmente los adeudos y serán descontados a la persona responsable según el resguardo, sin menoscabo de las sanciones correspondientes.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32.-</w:t>
      </w:r>
      <w:r w:rsidRPr="005743AD">
        <w:t xml:space="preserve"> Portar en la guantera del vehículo, la póliza del seguro del vehículo y tarjeta de circulación original vigente.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33.-</w:t>
      </w:r>
      <w:r w:rsidRPr="005743AD">
        <w:t xml:space="preserve"> Portar licencia de manejo vigente y en caso de que, por las actividades de la Instancia Ejecutora se requiera prestar el vehículo a otra persona que labore en ésta, deberá asegurarse que éste porte licencia de manejo vigente.</w:t>
      </w:r>
    </w:p>
    <w:p w:rsidR="00EB24BF" w:rsidRPr="005743AD" w:rsidRDefault="00EB24BF" w:rsidP="00EB24BF">
      <w:pPr>
        <w:pStyle w:val="Texto"/>
        <w:spacing w:line="256" w:lineRule="exact"/>
        <w:ind w:firstLine="0"/>
        <w:jc w:val="center"/>
        <w:rPr>
          <w:b/>
        </w:rPr>
      </w:pPr>
      <w:r w:rsidRPr="005743AD">
        <w:rPr>
          <w:b/>
        </w:rPr>
        <w:t>CAPÍTULO VI</w:t>
      </w:r>
    </w:p>
    <w:p w:rsidR="00EB24BF" w:rsidRDefault="00EB24BF" w:rsidP="00EB24BF">
      <w:pPr>
        <w:pStyle w:val="Texto"/>
        <w:spacing w:line="256" w:lineRule="exact"/>
        <w:ind w:firstLine="0"/>
        <w:jc w:val="center"/>
        <w:rPr>
          <w:b/>
        </w:rPr>
      </w:pPr>
      <w:r w:rsidRPr="005743AD">
        <w:rPr>
          <w:b/>
        </w:rPr>
        <w:t>DEL PERCANCE AUTOMOVILÍSTICO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34.-</w:t>
      </w:r>
      <w:r w:rsidRPr="005743AD">
        <w:t xml:space="preserve"> No moverse del lugar donde fue el percance hasta que se levante el parte de tránsito y llegue el ajustador de seguros.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35.-</w:t>
      </w:r>
      <w:r w:rsidRPr="005743AD">
        <w:t xml:space="preserve"> Dar aviso a la compañía de seguros ya sea directamente al ajustador, a los teléfonos de la compañía marcados en la póliza vigente, solicitando el servicio del ajustador e indicando el lugar del percance.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36.-</w:t>
      </w:r>
      <w:r w:rsidRPr="005743AD">
        <w:t xml:space="preserve"> No hacer ninguna negociación con las partes afectadas, eso será responsabilidad de la Compañía de Seguros.</w:t>
      </w:r>
    </w:p>
    <w:p w:rsidR="00EB24BF" w:rsidRPr="005743AD" w:rsidRDefault="00EB24BF" w:rsidP="00EB24BF">
      <w:pPr>
        <w:pStyle w:val="Texto"/>
        <w:spacing w:line="256" w:lineRule="exact"/>
      </w:pPr>
      <w:r w:rsidRPr="005743AD">
        <w:rPr>
          <w:b/>
        </w:rPr>
        <w:t>Artículo 37.-</w:t>
      </w:r>
      <w:r w:rsidRPr="005743AD">
        <w:t xml:space="preserve"> Informar del percance de forma inmediata al área administrativa de la IE.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lastRenderedPageBreak/>
        <w:t>Artículo 38.-</w:t>
      </w:r>
      <w:r w:rsidRPr="005743AD">
        <w:t xml:space="preserve"> El pago de los gastos que se ocasionen cuando existe algún percance y no sean cubiertos por la aseguradora, serán por cuenta del responsable del vehículo.</w:t>
      </w:r>
    </w:p>
    <w:p w:rsidR="00EB24BF" w:rsidRDefault="00EB24BF" w:rsidP="00EB24BF">
      <w:pPr>
        <w:pStyle w:val="Texto"/>
        <w:spacing w:line="256" w:lineRule="exact"/>
      </w:pPr>
      <w:r w:rsidRPr="005743AD">
        <w:rPr>
          <w:b/>
        </w:rPr>
        <w:t>Artículo 39.-</w:t>
      </w:r>
      <w:r w:rsidRPr="005743AD">
        <w:t xml:space="preserve"> El pago del deducible que se ocasione en un percance será cubierto por el responsable del resguardo del vehículo cuando se den las siguientes condiciones:</w:t>
      </w:r>
    </w:p>
    <w:p w:rsidR="00EB24BF" w:rsidRPr="005743AD" w:rsidRDefault="00EB24BF" w:rsidP="00EB24BF">
      <w:pPr>
        <w:pStyle w:val="Texto"/>
        <w:spacing w:line="256" w:lineRule="exact"/>
      </w:pPr>
      <w:r w:rsidRPr="005743AD">
        <w:rPr>
          <w:b/>
        </w:rPr>
        <w:t>I.-</w:t>
      </w:r>
      <w:r w:rsidRPr="005743AD">
        <w:t xml:space="preserve"> El conductor se encuentre en estado de ebriedad o bajo influencia de drogas, sin menoscabo de las sanciones a que se haga acreedor por parte del Organismo Auxiliar.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II.-</w:t>
      </w:r>
      <w:r w:rsidRPr="005743AD">
        <w:t xml:space="preserve"> Realice actividades que no correspondan a sus responsabilidades de trabajo.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III.-</w:t>
      </w:r>
      <w:r w:rsidRPr="005743AD">
        <w:t xml:space="preserve"> Por infringir la Ley y el Reglamento de tránsito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IV.-</w:t>
      </w:r>
      <w:r w:rsidRPr="005743AD">
        <w:t xml:space="preserve"> Por negligencia.</w:t>
      </w:r>
    </w:p>
    <w:p w:rsidR="00EB24BF" w:rsidRDefault="00EB24BF" w:rsidP="00EB24BF">
      <w:pPr>
        <w:pStyle w:val="Texto"/>
        <w:spacing w:line="258" w:lineRule="exact"/>
      </w:pPr>
      <w:r w:rsidRPr="005743AD">
        <w:rPr>
          <w:b/>
        </w:rPr>
        <w:t>V.-</w:t>
      </w:r>
      <w:r w:rsidRPr="005743AD">
        <w:t xml:space="preserve"> No recibir el parte de tránsito en el momento del percance y no entregarlo al área administrativa.</w:t>
      </w:r>
    </w:p>
    <w:p w:rsidR="00EB24BF" w:rsidRPr="005743AD" w:rsidRDefault="00EB24BF" w:rsidP="00EB24BF">
      <w:pPr>
        <w:pStyle w:val="Texto"/>
        <w:spacing w:line="258" w:lineRule="exact"/>
        <w:ind w:firstLine="0"/>
        <w:jc w:val="center"/>
        <w:rPr>
          <w:b/>
        </w:rPr>
      </w:pPr>
      <w:r w:rsidRPr="005743AD">
        <w:rPr>
          <w:b/>
        </w:rPr>
        <w:t>CAPÍTULO VII</w:t>
      </w:r>
    </w:p>
    <w:p w:rsidR="00EB24BF" w:rsidRDefault="00EB24BF" w:rsidP="00EB24BF">
      <w:pPr>
        <w:pStyle w:val="Texto"/>
        <w:spacing w:line="258" w:lineRule="exact"/>
        <w:ind w:firstLine="0"/>
        <w:jc w:val="center"/>
        <w:rPr>
          <w:b/>
        </w:rPr>
      </w:pPr>
      <w:r w:rsidRPr="005743AD">
        <w:rPr>
          <w:b/>
        </w:rPr>
        <w:t>DE LAS SANCIONES</w:t>
      </w:r>
    </w:p>
    <w:p w:rsidR="00EB24BF" w:rsidRDefault="00EB24BF" w:rsidP="00EB24BF">
      <w:pPr>
        <w:pStyle w:val="Texto"/>
        <w:spacing w:line="258" w:lineRule="exact"/>
      </w:pPr>
      <w:r w:rsidRPr="005743AD">
        <w:rPr>
          <w:b/>
        </w:rPr>
        <w:t>Artículo 40.-</w:t>
      </w:r>
      <w:r w:rsidRPr="005743AD">
        <w:t xml:space="preserve"> Los conductores que incumplan el presente reglamento se harán acreedores, según sea el caso y el grado de la falta a las siguientes sanciones: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I.</w:t>
      </w:r>
      <w:r w:rsidRPr="005743AD">
        <w:t xml:space="preserve"> Amonestación por escrito.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II.</w:t>
      </w:r>
      <w:r w:rsidRPr="005743AD">
        <w:t xml:space="preserve"> Acta administrativa.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III.</w:t>
      </w:r>
      <w:r w:rsidRPr="005743AD">
        <w:t xml:space="preserve"> Suspensión de labores hasta por 15 días sin goce de sueldo.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IV.</w:t>
      </w:r>
      <w:r w:rsidRPr="005743AD">
        <w:t xml:space="preserve"> Remoción de su puesto.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V.</w:t>
      </w:r>
      <w:r w:rsidRPr="005743AD">
        <w:t xml:space="preserve"> No se asignará un nuevo vehículo a la persona que entregue el vehículo anterior con daños por choques o descuidos.</w:t>
      </w:r>
    </w:p>
    <w:p w:rsidR="00EB24BF" w:rsidRDefault="00EB24BF" w:rsidP="00EB24BF">
      <w:pPr>
        <w:pStyle w:val="Texto"/>
        <w:spacing w:line="258" w:lineRule="exact"/>
      </w:pPr>
      <w:r w:rsidRPr="005743AD">
        <w:rPr>
          <w:b/>
        </w:rPr>
        <w:t>VI.</w:t>
      </w:r>
      <w:r w:rsidRPr="005743AD">
        <w:t xml:space="preserve"> Retiro del resguardo del vehículo.</w:t>
      </w:r>
    </w:p>
    <w:p w:rsidR="00EB24BF" w:rsidRDefault="00EB24BF" w:rsidP="00EB24BF">
      <w:pPr>
        <w:pStyle w:val="ANOTACION"/>
        <w:spacing w:line="258" w:lineRule="exact"/>
      </w:pPr>
      <w:r w:rsidRPr="005743AD">
        <w:t>TRASITORIOS</w:t>
      </w:r>
    </w:p>
    <w:p w:rsidR="00EB24BF" w:rsidRDefault="00EB24BF" w:rsidP="00EB24BF">
      <w:pPr>
        <w:pStyle w:val="Texto"/>
        <w:spacing w:line="258" w:lineRule="exact"/>
      </w:pPr>
      <w:r w:rsidRPr="005743AD">
        <w:rPr>
          <w:b/>
        </w:rPr>
        <w:t>PRIMERO. -</w:t>
      </w:r>
      <w:r w:rsidRPr="005743AD">
        <w:t xml:space="preserve"> El presente reglamento entrara en vigor al día siguiente de su aprobación por parte de Mesa Directiva.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rPr>
          <w:b/>
        </w:rPr>
        <w:t>SEGUNDO. -</w:t>
      </w:r>
      <w:r w:rsidRPr="005743AD">
        <w:t xml:space="preserve"> Las disposiciones de este Reglamento regirán sin perjuicios de las contenidas en las leyes Estatales o Federales y su incumplimiento dará lugar a las sanciones que así lo ameriten.</w:t>
      </w:r>
    </w:p>
    <w:p w:rsidR="00EB24BF" w:rsidRDefault="00EB24BF" w:rsidP="00EB24BF">
      <w:pPr>
        <w:pStyle w:val="Texto"/>
        <w:spacing w:line="258" w:lineRule="exact"/>
      </w:pPr>
      <w:r w:rsidRPr="005743AD">
        <w:rPr>
          <w:b/>
        </w:rPr>
        <w:t>TERCERO. -</w:t>
      </w:r>
      <w:r w:rsidRPr="005743AD">
        <w:t xml:space="preserve"> Se derogan todas las disposiciones contenidas en instructivos o reglamentos anteriores o que se opongan al presente reglamento.</w:t>
      </w:r>
    </w:p>
    <w:p w:rsidR="00EB24BF" w:rsidRPr="005743AD" w:rsidRDefault="00EB24BF" w:rsidP="00EB24BF">
      <w:pPr>
        <w:pStyle w:val="Texto"/>
        <w:spacing w:line="258" w:lineRule="exact"/>
      </w:pPr>
      <w:r w:rsidRPr="005743AD">
        <w:t xml:space="preserve">Los suscritos hacen constar que el presente Reglamento, en cumplimiento al numeral Cuadragésimo Octavo de los Lineamientos Técnicos Específicos para la Operación de los Componentes de Vigilancia Epidemiológica de Plagas y Enfermedades </w:t>
      </w:r>
      <w:proofErr w:type="spellStart"/>
      <w:r w:rsidRPr="005743AD">
        <w:t>Fitozoosanitarias</w:t>
      </w:r>
      <w:proofErr w:type="spellEnd"/>
      <w:r w:rsidRPr="005743AD">
        <w:t xml:space="preserve">, Campañas </w:t>
      </w:r>
      <w:proofErr w:type="spellStart"/>
      <w:r w:rsidRPr="005743AD">
        <w:t>Fitozoosanitarias</w:t>
      </w:r>
      <w:proofErr w:type="spellEnd"/>
      <w:r w:rsidRPr="005743AD">
        <w:t xml:space="preserve"> e Inocuidad</w:t>
      </w:r>
    </w:p>
    <w:p w:rsidR="00EB24BF" w:rsidRDefault="00EB24BF" w:rsidP="00EB24BF">
      <w:pPr>
        <w:pStyle w:val="Texto"/>
        <w:spacing w:line="258" w:lineRule="exact"/>
      </w:pPr>
      <w:r w:rsidRPr="005743AD">
        <w:t xml:space="preserve">Agroalimentaria, Acuícola y Pesquera 2022, fue revisado y aprobado el </w:t>
      </w:r>
      <w:proofErr w:type="spellStart"/>
      <w:r w:rsidRPr="005743AD">
        <w:t>día_____del</w:t>
      </w:r>
      <w:proofErr w:type="spellEnd"/>
      <w:r w:rsidRPr="005743AD">
        <w:t xml:space="preserve"> mes de ________del año _____por la mesa directiva en la Asamblea General del Comité Estatal de ___________.</w:t>
      </w:r>
    </w:p>
    <w:p w:rsidR="00EB24BF" w:rsidRPr="005743AD" w:rsidRDefault="00EB24BF" w:rsidP="00EB24BF">
      <w:pPr>
        <w:pStyle w:val="Texto"/>
        <w:spacing w:line="258" w:lineRule="exact"/>
        <w:ind w:firstLine="0"/>
        <w:jc w:val="center"/>
        <w:rPr>
          <w:b/>
        </w:rPr>
      </w:pPr>
      <w:r w:rsidRPr="005743AD">
        <w:rPr>
          <w:b/>
        </w:rPr>
        <w:t>FIRMAS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EB24BF" w:rsidRPr="005743AD" w:rsidTr="00FB65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noWrap/>
          </w:tcPr>
          <w:p w:rsidR="00EB24BF" w:rsidRDefault="00EB24BF" w:rsidP="00FB650F">
            <w:pPr>
              <w:pStyle w:val="Texto"/>
              <w:ind w:firstLine="0"/>
              <w:jc w:val="center"/>
            </w:pPr>
            <w:r w:rsidRPr="005743AD">
              <w:t>PRESIDENTE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  <w:r w:rsidRPr="005743AD">
              <w:t>SECRETARIO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</w:tr>
      <w:tr w:rsidR="00EB24BF" w:rsidRPr="005743AD" w:rsidTr="00FB65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  <w:r w:rsidRPr="005743AD">
              <w:t>(NOMBRE)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  <w:r w:rsidRPr="005743AD">
              <w:t>(NOMBRE)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</w:tr>
      <w:tr w:rsidR="00EB24BF" w:rsidRPr="005743AD" w:rsidTr="00FB65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</w:tcPr>
          <w:p w:rsidR="00EB24BF" w:rsidRDefault="00EB24BF" w:rsidP="00FB650F">
            <w:pPr>
              <w:pStyle w:val="Texto"/>
              <w:ind w:firstLine="0"/>
              <w:jc w:val="center"/>
            </w:pPr>
            <w:r w:rsidRPr="005743AD">
              <w:t>TESORERO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  <w:r w:rsidRPr="005743AD">
              <w:t>GERENTE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</w:tr>
      <w:tr w:rsidR="00EB24BF" w:rsidRPr="005743AD" w:rsidTr="00FB65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  <w:r w:rsidRPr="005743AD">
              <w:lastRenderedPageBreak/>
              <w:t>(NOMBRE)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  <w:r w:rsidRPr="005743AD">
              <w:t>(NOMBRE)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</w:tr>
      <w:tr w:rsidR="00EB24BF" w:rsidRPr="005743AD" w:rsidTr="00FB65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  <w:r w:rsidRPr="005743AD">
              <w:t>COORDINADOR</w:t>
            </w:r>
          </w:p>
          <w:p w:rsidR="00EB24BF" w:rsidRDefault="00EB24BF" w:rsidP="00FB650F">
            <w:pPr>
              <w:pStyle w:val="Texto"/>
              <w:ind w:firstLine="0"/>
              <w:jc w:val="center"/>
            </w:pPr>
            <w:r w:rsidRPr="005743AD">
              <w:t>ADMINISTRATIVO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</w:tr>
      <w:tr w:rsidR="00EB24BF" w:rsidRPr="005743AD" w:rsidTr="00FB65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</w:tcPr>
          <w:p w:rsidR="00EB24BF" w:rsidRDefault="00EB24BF" w:rsidP="00FB650F">
            <w:pPr>
              <w:pStyle w:val="Texto"/>
              <w:ind w:firstLine="0"/>
              <w:jc w:val="center"/>
            </w:pPr>
            <w:r w:rsidRPr="005743AD">
              <w:t>(NOMBRE)</w:t>
            </w:r>
          </w:p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  <w:tc>
          <w:tcPr>
            <w:tcW w:w="4356" w:type="dxa"/>
          </w:tcPr>
          <w:p w:rsidR="00EB24BF" w:rsidRPr="005743AD" w:rsidRDefault="00EB24BF" w:rsidP="00FB650F">
            <w:pPr>
              <w:pStyle w:val="Texto"/>
              <w:ind w:firstLine="0"/>
              <w:jc w:val="center"/>
            </w:pPr>
          </w:p>
        </w:tc>
      </w:tr>
    </w:tbl>
    <w:p w:rsidR="000521A1" w:rsidRDefault="000521A1"/>
    <w:sectPr w:rsidR="00052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F"/>
    <w:rsid w:val="000521A1"/>
    <w:rsid w:val="00E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37500-0937-4B76-A4AD-D872FD5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B24B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EB24B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EB24BF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EB24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Adelina Figueroa Mejía</dc:creator>
  <cp:keywords/>
  <dc:description/>
  <cp:lastModifiedBy>Violeta Adelina Figueroa Mejía</cp:lastModifiedBy>
  <cp:revision>1</cp:revision>
  <dcterms:created xsi:type="dcterms:W3CDTF">2022-03-03T18:12:00Z</dcterms:created>
  <dcterms:modified xsi:type="dcterms:W3CDTF">2022-03-03T18:13:00Z</dcterms:modified>
</cp:coreProperties>
</file>