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1D78669C" w14:textId="0151BBF1" w:rsidR="00946D82" w:rsidRDefault="00946D82"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 xml:space="preserve">PROYECTO ESTRATÉGICO </w:t>
      </w:r>
      <w:r w:rsidRPr="00946D82">
        <w:rPr>
          <w:rFonts w:ascii="Montserrat" w:eastAsia="Calibri" w:hAnsi="Montserrat" w:cs="Courier New"/>
          <w:b/>
          <w:bCs/>
          <w:color w:val="000000"/>
          <w:sz w:val="18"/>
          <w:szCs w:val="18"/>
        </w:rPr>
        <w:t xml:space="preserve">USO DE SEMILLA CERTIFICADA DE FRIJOL PARA CHIHUAHUA, DURANGO Y ZACATECAS, 2021 CON AMPLIACIÓN A </w:t>
      </w:r>
      <w:r>
        <w:rPr>
          <w:rFonts w:ascii="Montserrat" w:eastAsia="Calibri" w:hAnsi="Montserrat" w:cs="Courier New"/>
          <w:b/>
          <w:bCs/>
          <w:color w:val="000000"/>
          <w:sz w:val="18"/>
          <w:szCs w:val="18"/>
        </w:rPr>
        <w:t>NAYARIT, QUINTANA ROO Y YUCATÁN</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4EBD042E"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58080E" w:rsidRPr="008927B2">
        <w:rPr>
          <w:rFonts w:ascii="Montserrat" w:eastAsia="Calibri" w:hAnsi="Montserrat" w:cs="Montserrat"/>
          <w:b/>
          <w:color w:val="000000"/>
          <w:sz w:val="18"/>
          <w:szCs w:val="18"/>
        </w:rPr>
        <w:t>“</w:t>
      </w:r>
      <w:r w:rsidR="00946D82">
        <w:rPr>
          <w:rFonts w:ascii="Montserrat" w:eastAsia="Calibri" w:hAnsi="Montserrat" w:cs="Montserrat"/>
          <w:b/>
          <w:color w:val="000000"/>
          <w:sz w:val="18"/>
          <w:szCs w:val="18"/>
        </w:rPr>
        <w:t>Proyecto Estratégico Uso de semilla certificada de frijol para Chihuahua, Durango y Zacatecas, 2021 con ampliación a Nayarit, Quintana Roo y Yucatán</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0BE047A9"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946D8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946D8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946D82">
        <w:rPr>
          <w:rFonts w:ascii="Montserrat" w:eastAsia="Calibri" w:hAnsi="Montserrat" w:cs="Montserrat"/>
          <w:b/>
          <w:color w:val="000000"/>
          <w:sz w:val="18"/>
          <w:szCs w:val="18"/>
        </w:rPr>
        <w:t>Chihuahua, Durango, Zacatecas, Nayarit, Quintana Roo y Yucatán</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946D82">
        <w:rPr>
          <w:rFonts w:ascii="Montserrat" w:eastAsia="Calibri" w:hAnsi="Montserrat" w:cs="Montserrat"/>
          <w:b/>
          <w:color w:val="000000"/>
          <w:sz w:val="18"/>
          <w:szCs w:val="18"/>
        </w:rPr>
        <w:t>Proyecto Estratégico Uso de semilla certificada de frijol para Chihuahua, Durango y Zacatecas, 2021 con ampliación a Nayarit, Quintana Roo y Yucatán</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6B0181A0"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946D82">
        <w:rPr>
          <w:rFonts w:ascii="Montserrat" w:eastAsia="Calibri" w:hAnsi="Montserrat" w:cs="Montserrat"/>
          <w:b/>
          <w:color w:val="000000"/>
          <w:sz w:val="18"/>
          <w:szCs w:val="18"/>
        </w:rPr>
        <w:t>Proyecto Estratégico Uso de semilla certificada de frijol para Chihuahua, Durango y Zacatecas, 2021 con ampliación a Nayarit, Quintana Roo y Yucatán</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502FCFF4"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946D82">
        <w:rPr>
          <w:rFonts w:ascii="Montserrat" w:eastAsia="Calibri" w:hAnsi="Montserrat" w:cs="Times New Roman"/>
          <w:b/>
          <w:sz w:val="18"/>
          <w:szCs w:val="18"/>
          <w:lang w:val="es-ES_tradnl"/>
        </w:rPr>
        <w:t>Proyecto Estratégico Uso de semilla certificada de frijol para Chihuahua, Durango y Zacatecas, 2021 con ampliación a Nayarit, Quintana Roo y Yucatán</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79B6AA24"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Oficinas de Representación en las Entidades Federativas de Chihuahua, Durango, Zacatecas, Nayarit, Quintana Roo y Yucatán</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946D82">
        <w:rPr>
          <w:rFonts w:ascii="Montserrat" w:eastAsia="Calibri" w:hAnsi="Montserrat" w:cs="Montserrat"/>
          <w:b/>
          <w:color w:val="000000"/>
          <w:sz w:val="18"/>
          <w:szCs w:val="18"/>
        </w:rPr>
        <w:t>Proyecto Estratégico Uso de semilla certificada de frijol para Chihuahua, Durango y Zacatecas, 2021 con ampliación a Nayarit, Quintana Roo y Yucatán</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2AA0CF4"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946D82">
        <w:rPr>
          <w:rFonts w:ascii="Montserrat" w:eastAsia="Calibri" w:hAnsi="Montserrat" w:cs="Montserrat"/>
          <w:b/>
          <w:color w:val="000000"/>
          <w:sz w:val="18"/>
          <w:szCs w:val="18"/>
        </w:rPr>
        <w:t>Proyecto Estratégico Uso de semilla certificada de frijol para Chihuahua, Durango y Zacatecas, 2021 con ampliación a Nayarit, Quintana Roo y Yucatán</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lastRenderedPageBreak/>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E705" w14:textId="77777777" w:rsidR="00A51E03" w:rsidRDefault="00A51E03" w:rsidP="00393482">
      <w:pPr>
        <w:spacing w:after="0" w:line="240" w:lineRule="auto"/>
      </w:pPr>
      <w:r>
        <w:separator/>
      </w:r>
    </w:p>
  </w:endnote>
  <w:endnote w:type="continuationSeparator" w:id="0">
    <w:p w14:paraId="6D4E606D" w14:textId="77777777" w:rsidR="00A51E03" w:rsidRDefault="00A51E03"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213C727C" w14:textId="77777777" w:rsidR="008D72CD" w:rsidRDefault="008D72CD" w:rsidP="008D72C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620F81DE" w14:textId="77777777" w:rsidR="008D72CD" w:rsidRDefault="008D72CD" w:rsidP="008D72C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027E7EEE" w:rsidR="002D5221" w:rsidRPr="00E60BF5" w:rsidRDefault="00B02BEA" w:rsidP="008D72C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364346">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364346">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67BB" w14:textId="77777777" w:rsidR="00A51E03" w:rsidRDefault="00A51E03" w:rsidP="00393482">
      <w:pPr>
        <w:spacing w:after="0" w:line="240" w:lineRule="auto"/>
      </w:pPr>
      <w:r>
        <w:separator/>
      </w:r>
    </w:p>
  </w:footnote>
  <w:footnote w:type="continuationSeparator" w:id="0">
    <w:p w14:paraId="4C93437F" w14:textId="77777777" w:rsidR="00A51E03" w:rsidRDefault="00A51E03"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4766B"/>
    <w:rsid w:val="00164874"/>
    <w:rsid w:val="001D60B1"/>
    <w:rsid w:val="002045D4"/>
    <w:rsid w:val="00213437"/>
    <w:rsid w:val="00226130"/>
    <w:rsid w:val="002741C8"/>
    <w:rsid w:val="002B281B"/>
    <w:rsid w:val="0032580C"/>
    <w:rsid w:val="003554AF"/>
    <w:rsid w:val="00364346"/>
    <w:rsid w:val="00385EAD"/>
    <w:rsid w:val="00393482"/>
    <w:rsid w:val="003E7C29"/>
    <w:rsid w:val="004511F7"/>
    <w:rsid w:val="00493C53"/>
    <w:rsid w:val="004D055A"/>
    <w:rsid w:val="004D1618"/>
    <w:rsid w:val="004E2AD2"/>
    <w:rsid w:val="004E5F2E"/>
    <w:rsid w:val="00576267"/>
    <w:rsid w:val="0058080E"/>
    <w:rsid w:val="005865CA"/>
    <w:rsid w:val="00605FDA"/>
    <w:rsid w:val="00623415"/>
    <w:rsid w:val="006A6131"/>
    <w:rsid w:val="006C70FC"/>
    <w:rsid w:val="00737072"/>
    <w:rsid w:val="00757FE5"/>
    <w:rsid w:val="00795327"/>
    <w:rsid w:val="007B2601"/>
    <w:rsid w:val="007D7D95"/>
    <w:rsid w:val="008615A8"/>
    <w:rsid w:val="00862EF3"/>
    <w:rsid w:val="008927B2"/>
    <w:rsid w:val="008D72CD"/>
    <w:rsid w:val="0091422C"/>
    <w:rsid w:val="00925F37"/>
    <w:rsid w:val="00930876"/>
    <w:rsid w:val="00946D82"/>
    <w:rsid w:val="009A29C3"/>
    <w:rsid w:val="00A51E03"/>
    <w:rsid w:val="00A640F0"/>
    <w:rsid w:val="00AA0EBA"/>
    <w:rsid w:val="00AA5B51"/>
    <w:rsid w:val="00B02BEA"/>
    <w:rsid w:val="00B044B6"/>
    <w:rsid w:val="00B96D12"/>
    <w:rsid w:val="00B974DF"/>
    <w:rsid w:val="00BE2529"/>
    <w:rsid w:val="00BF0EC7"/>
    <w:rsid w:val="00C00EF3"/>
    <w:rsid w:val="00C06B8A"/>
    <w:rsid w:val="00C43048"/>
    <w:rsid w:val="00C57D56"/>
    <w:rsid w:val="00C72E67"/>
    <w:rsid w:val="00C97DD7"/>
    <w:rsid w:val="00CE7C00"/>
    <w:rsid w:val="00CF573F"/>
    <w:rsid w:val="00D11315"/>
    <w:rsid w:val="00D52106"/>
    <w:rsid w:val="00DB78F9"/>
    <w:rsid w:val="00DD5795"/>
    <w:rsid w:val="00DF12EE"/>
    <w:rsid w:val="00E04844"/>
    <w:rsid w:val="00E7466D"/>
    <w:rsid w:val="00ED352F"/>
    <w:rsid w:val="00ED55D3"/>
    <w:rsid w:val="00EF3CCC"/>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 w:id="20483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2022-02-02T18:11:00Z</dcterms:created>
  <dcterms:modified xsi:type="dcterms:W3CDTF">2022-02-02T18:11:00Z</dcterms:modified>
</cp:coreProperties>
</file>